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0B9C" w:rsidRDefault="00F00B9C"/>
    <w:p w:rsidR="00F00B9C" w:rsidRDefault="00F00B9C"/>
    <w:p w:rsidR="00F00B9C" w:rsidRDefault="00F00B9C"/>
    <w:p w:rsidR="00F00B9C" w:rsidRDefault="00F00B9C"/>
    <w:p w:rsidR="00F00B9C" w:rsidRDefault="00F00B9C"/>
    <w:p w:rsidR="00F00B9C" w:rsidRDefault="00F00B9C"/>
    <w:p w:rsidR="00F00B9C" w:rsidRDefault="00F00B9C"/>
    <w:p w:rsidR="00F00B9C" w:rsidRDefault="00F00B9C"/>
    <w:p w:rsidR="00F00B9C" w:rsidRDefault="00F00B9C" w:rsidP="00F00B9C">
      <w:pPr>
        <w:jc w:val="center"/>
      </w:pPr>
    </w:p>
    <w:p w:rsidR="00F00B9C" w:rsidRDefault="00F00B9C" w:rsidP="00F00B9C">
      <w:pPr>
        <w:jc w:val="center"/>
      </w:pPr>
      <w:r>
        <w:t>Relationship between FMS and MVPA in Children within School Hours</w:t>
      </w:r>
    </w:p>
    <w:p w:rsidR="00F00B9C" w:rsidRDefault="00F00B9C" w:rsidP="00F00B9C">
      <w:pPr>
        <w:jc w:val="center"/>
      </w:pPr>
      <w:r>
        <w:t>Name of Student</w:t>
      </w:r>
    </w:p>
    <w:p w:rsidR="00F00B9C" w:rsidRDefault="00F00B9C" w:rsidP="00F00B9C">
      <w:pPr>
        <w:jc w:val="center"/>
      </w:pPr>
      <w:r>
        <w:t>Name of Institution</w:t>
      </w:r>
    </w:p>
    <w:p w:rsidR="00F00B9C" w:rsidRDefault="00F00B9C" w:rsidP="00F00B9C">
      <w:pPr>
        <w:jc w:val="center"/>
      </w:pPr>
      <w:r>
        <w:t>Date</w:t>
      </w:r>
      <w:r>
        <w:br w:type="page"/>
      </w:r>
    </w:p>
    <w:p w:rsidR="001C7288" w:rsidRDefault="001C7288" w:rsidP="00F00B9C">
      <w:pPr>
        <w:pStyle w:val="ListParagraph"/>
        <w:numPr>
          <w:ilvl w:val="0"/>
          <w:numId w:val="1"/>
        </w:numPr>
      </w:pPr>
      <w:r>
        <w:lastRenderedPageBreak/>
        <w:t>Motor skill proficiency</w:t>
      </w:r>
      <w:r w:rsidR="00E20C50">
        <w:t xml:space="preserve"> describes the aptitude for the children in the study in their movements and actions of their bone structures in coordination </w:t>
      </w:r>
      <w:sdt>
        <w:sdtPr>
          <w:id w:val="-175582315"/>
          <w:citation/>
        </w:sdtPr>
        <w:sdtEndPr/>
        <w:sdtContent>
          <w:r w:rsidR="00E20C50">
            <w:fldChar w:fldCharType="begin"/>
          </w:r>
          <w:r w:rsidR="00E20C50">
            <w:instrText xml:space="preserve"> CITATION Cra15 \l 1033 </w:instrText>
          </w:r>
          <w:r w:rsidR="00E20C50">
            <w:fldChar w:fldCharType="separate"/>
          </w:r>
          <w:r w:rsidR="00E20C50">
            <w:rPr>
              <w:noProof/>
            </w:rPr>
            <w:t>(Crane, Naylor, Cook, &amp; Temple, 2015)</w:t>
          </w:r>
          <w:r w:rsidR="00E20C50">
            <w:fldChar w:fldCharType="end"/>
          </w:r>
        </w:sdtContent>
      </w:sdt>
      <w:r w:rsidR="00E20C50">
        <w:t>.</w:t>
      </w:r>
    </w:p>
    <w:p w:rsidR="001C7288" w:rsidRDefault="00E20C50" w:rsidP="00F00B9C">
      <w:pPr>
        <w:pStyle w:val="ListParagraph"/>
        <w:numPr>
          <w:ilvl w:val="0"/>
          <w:numId w:val="1"/>
        </w:numPr>
      </w:pPr>
      <w:proofErr w:type="spellStart"/>
      <w:r>
        <w:t>A</w:t>
      </w:r>
      <w:r w:rsidR="001C7288">
        <w:t>ctigraph</w:t>
      </w:r>
      <w:proofErr w:type="spellEnd"/>
      <w:r>
        <w:t xml:space="preserve"> a wrist device used in recording of the body’s physical activity level relevant </w:t>
      </w:r>
      <w:sdt>
        <w:sdtPr>
          <w:id w:val="182412632"/>
          <w:citation/>
        </w:sdtPr>
        <w:sdtEndPr/>
        <w:sdtContent>
          <w:r w:rsidR="00F87A81">
            <w:fldChar w:fldCharType="begin"/>
          </w:r>
          <w:r w:rsidR="00F87A81">
            <w:instrText xml:space="preserve"> CITATION Anc15 \l 1033 </w:instrText>
          </w:r>
          <w:r w:rsidR="00F87A81">
            <w:fldChar w:fldCharType="separate"/>
          </w:r>
          <w:r w:rsidR="00F87A81">
            <w:rPr>
              <w:noProof/>
            </w:rPr>
            <w:t>(Ancoli-Israel, et al., 2015)</w:t>
          </w:r>
          <w:r w:rsidR="00F87A81">
            <w:fldChar w:fldCharType="end"/>
          </w:r>
        </w:sdtContent>
      </w:sdt>
      <w:r>
        <w:t xml:space="preserve">. </w:t>
      </w:r>
    </w:p>
    <w:p w:rsidR="001C7288" w:rsidRDefault="001C7288" w:rsidP="00F00B9C">
      <w:pPr>
        <w:pStyle w:val="ListParagraph"/>
        <w:numPr>
          <w:ilvl w:val="0"/>
          <w:numId w:val="1"/>
        </w:numPr>
      </w:pPr>
      <w:r>
        <w:t>Accelerometers</w:t>
      </w:r>
      <w:r w:rsidR="00E20C50">
        <w:t xml:space="preserve"> is a tool that measures the energy expended by the body relevant to activities spent of differing intensity of the children in their physical activity </w:t>
      </w:r>
      <w:sdt>
        <w:sdtPr>
          <w:id w:val="300895063"/>
          <w:citation/>
        </w:sdtPr>
        <w:sdtEndPr/>
        <w:sdtContent>
          <w:r w:rsidR="00E20C50">
            <w:fldChar w:fldCharType="begin"/>
          </w:r>
          <w:r w:rsidR="00E20C50">
            <w:instrText xml:space="preserve"> CITATION Sko14 \l 1033 </w:instrText>
          </w:r>
          <w:r w:rsidR="00E20C50">
            <w:fldChar w:fldCharType="separate"/>
          </w:r>
          <w:r w:rsidR="00E20C50">
            <w:rPr>
              <w:noProof/>
            </w:rPr>
            <w:t>(Skotte, Korshoj, Kristiansen, Hanisch, &amp; Holtermann, 2014)</w:t>
          </w:r>
          <w:r w:rsidR="00E20C50">
            <w:fldChar w:fldCharType="end"/>
          </w:r>
        </w:sdtContent>
      </w:sdt>
      <w:r w:rsidR="00E20C50">
        <w:t xml:space="preserve">. </w:t>
      </w:r>
    </w:p>
    <w:p w:rsidR="001C7288" w:rsidRDefault="00F00B9C" w:rsidP="00F00B9C">
      <w:pPr>
        <w:pStyle w:val="ListParagraph"/>
        <w:numPr>
          <w:ilvl w:val="0"/>
          <w:numId w:val="1"/>
        </w:numPr>
      </w:pPr>
      <w:r>
        <w:t>P</w:t>
      </w:r>
      <w:r w:rsidR="00EE5F9D">
        <w:t>edagogical strategies</w:t>
      </w:r>
      <w:r w:rsidR="00F87A81">
        <w:t xml:space="preserve"> refers to the tactical actions plans to create a relatable dynamic between reliability of concepts of quality inter-reliability and intra-reliability </w:t>
      </w:r>
      <w:sdt>
        <w:sdtPr>
          <w:id w:val="-828984955"/>
          <w:citation/>
        </w:sdtPr>
        <w:sdtEndPr/>
        <w:sdtContent>
          <w:r w:rsidR="00F87A81">
            <w:fldChar w:fldCharType="begin"/>
          </w:r>
          <w:r w:rsidR="00F87A81">
            <w:instrText xml:space="preserve"> CITATION Iva17 \l 1033 </w:instrText>
          </w:r>
          <w:r w:rsidR="00F87A81">
            <w:fldChar w:fldCharType="separate"/>
          </w:r>
          <w:r w:rsidR="00F87A81">
            <w:rPr>
              <w:noProof/>
            </w:rPr>
            <w:t>(Ivashchenko, et al., 2017)</w:t>
          </w:r>
          <w:r w:rsidR="00F87A81">
            <w:fldChar w:fldCharType="end"/>
          </w:r>
        </w:sdtContent>
      </w:sdt>
      <w:r w:rsidR="00F87A81">
        <w:t>.</w:t>
      </w:r>
    </w:p>
    <w:p w:rsidR="003D22EC" w:rsidRDefault="008F589D" w:rsidP="003D22EC">
      <w:pPr>
        <w:ind w:firstLine="720"/>
      </w:pPr>
      <w:r>
        <w:t>The research seeks to illustrate the pattern between physical activity in the school and their relevance to children’s locomotive skills and object control skills</w:t>
      </w:r>
      <w:r w:rsidR="0053093C">
        <w:t xml:space="preserve"> during times during the day that presented as peak opportunities for physical activity</w:t>
      </w:r>
      <w:r>
        <w:t xml:space="preserve">. Locomotive skills range from hopping, skipping, jumping, </w:t>
      </w:r>
      <w:proofErr w:type="gramStart"/>
      <w:r>
        <w:t>horizontal</w:t>
      </w:r>
      <w:proofErr w:type="gramEnd"/>
      <w:r>
        <w:t xml:space="preserve"> leap, jogging, and sprinting. Object control skills include the physical activities that involve control of physical gadgets in their work out. The research study analyzed the relationship dynamic between the fundamental movement skill and the moderate-to-vigorous physical activity measurement in children studying in low-income communities during and after their school day. </w:t>
      </w:r>
      <w:r w:rsidR="004F5501">
        <w:t>They sought an answer to the question; what is the relationship behind fundamental movement skills and physical activity among children living in low-income communities?</w:t>
      </w:r>
    </w:p>
    <w:p w:rsidR="008F589D" w:rsidRDefault="00611D46" w:rsidP="00611D46">
      <w:pPr>
        <w:autoSpaceDE w:val="0"/>
        <w:autoSpaceDN w:val="0"/>
        <w:adjustRightInd w:val="0"/>
        <w:ind w:firstLine="720"/>
        <w:rPr>
          <w:rFonts w:cs="Times New Roman"/>
          <w:szCs w:val="24"/>
        </w:rPr>
      </w:pPr>
      <w:r>
        <w:rPr>
          <w:rFonts w:cs="Times New Roman"/>
          <w:szCs w:val="24"/>
        </w:rPr>
        <w:t xml:space="preserve">Ethical </w:t>
      </w:r>
      <w:r w:rsidR="008F589D" w:rsidRPr="00611D46">
        <w:rPr>
          <w:rFonts w:cs="Times New Roman"/>
          <w:szCs w:val="24"/>
        </w:rPr>
        <w:t>approval</w:t>
      </w:r>
      <w:r>
        <w:rPr>
          <w:rFonts w:cs="Times New Roman"/>
          <w:szCs w:val="24"/>
        </w:rPr>
        <w:t xml:space="preserve"> </w:t>
      </w:r>
      <w:r w:rsidR="008F589D" w:rsidRPr="00611D46">
        <w:rPr>
          <w:rFonts w:cs="Times New Roman"/>
          <w:szCs w:val="24"/>
        </w:rPr>
        <w:t xml:space="preserve">for the </w:t>
      </w:r>
      <w:r>
        <w:rPr>
          <w:rFonts w:cs="Times New Roman"/>
          <w:szCs w:val="24"/>
        </w:rPr>
        <w:t xml:space="preserve">research </w:t>
      </w:r>
      <w:r w:rsidR="008F589D" w:rsidRPr="00611D46">
        <w:rPr>
          <w:rFonts w:cs="Times New Roman"/>
          <w:szCs w:val="24"/>
        </w:rPr>
        <w:t xml:space="preserve">was </w:t>
      </w:r>
      <w:r>
        <w:rPr>
          <w:rFonts w:cs="Times New Roman"/>
          <w:szCs w:val="24"/>
        </w:rPr>
        <w:t xml:space="preserve">granted by the Human Research Ethics </w:t>
      </w:r>
      <w:r w:rsidR="008F589D" w:rsidRPr="00611D46">
        <w:rPr>
          <w:rFonts w:cs="Times New Roman"/>
          <w:szCs w:val="24"/>
        </w:rPr>
        <w:t>Committees of the Uni</w:t>
      </w:r>
      <w:r>
        <w:rPr>
          <w:rFonts w:cs="Times New Roman"/>
          <w:szCs w:val="24"/>
        </w:rPr>
        <w:t xml:space="preserve">versity </w:t>
      </w:r>
      <w:proofErr w:type="gramStart"/>
      <w:r>
        <w:rPr>
          <w:rFonts w:cs="Times New Roman"/>
          <w:szCs w:val="24"/>
        </w:rPr>
        <w:t>of</w:t>
      </w:r>
      <w:proofErr w:type="gramEnd"/>
      <w:r>
        <w:rPr>
          <w:rFonts w:cs="Times New Roman"/>
          <w:szCs w:val="24"/>
        </w:rPr>
        <w:t xml:space="preserve"> Newcastle, Australia </w:t>
      </w:r>
      <w:r w:rsidR="008F589D" w:rsidRPr="00611D46">
        <w:rPr>
          <w:rFonts w:cs="Times New Roman"/>
          <w:szCs w:val="24"/>
        </w:rPr>
        <w:t>and the New South Wales (NSW) Department of Education</w:t>
      </w:r>
      <w:r>
        <w:rPr>
          <w:rFonts w:cs="Times New Roman"/>
          <w:szCs w:val="24"/>
        </w:rPr>
        <w:t xml:space="preserve"> </w:t>
      </w:r>
      <w:r w:rsidR="008F589D" w:rsidRPr="00611D46">
        <w:rPr>
          <w:rFonts w:cs="Times New Roman"/>
          <w:szCs w:val="24"/>
        </w:rPr>
        <w:t>and Communities</w:t>
      </w:r>
      <w:r>
        <w:rPr>
          <w:rFonts w:cs="Times New Roman"/>
          <w:szCs w:val="24"/>
        </w:rPr>
        <w:t xml:space="preserve">. </w:t>
      </w:r>
      <w:r w:rsidR="008E6D3C">
        <w:rPr>
          <w:rFonts w:cs="Times New Roman"/>
          <w:szCs w:val="24"/>
        </w:rPr>
        <w:t xml:space="preserve">The research team adhered to the protocols </w:t>
      </w:r>
      <w:r w:rsidR="008E6D3C">
        <w:rPr>
          <w:rFonts w:cs="Times New Roman"/>
          <w:szCs w:val="24"/>
        </w:rPr>
        <w:lastRenderedPageBreak/>
        <w:t>behind REB, hence the ethical clearance obtained was from a Research Ethical Board.</w:t>
      </w:r>
      <w:r w:rsidR="00C36715">
        <w:rPr>
          <w:rFonts w:cs="Times New Roman"/>
          <w:szCs w:val="24"/>
        </w:rPr>
        <w:t xml:space="preserve"> The study record no sex differences were indicated for age, BMI-z and SES.</w:t>
      </w:r>
    </w:p>
    <w:p w:rsidR="00982FC2" w:rsidRDefault="006328AD" w:rsidP="00611D46">
      <w:pPr>
        <w:autoSpaceDE w:val="0"/>
        <w:autoSpaceDN w:val="0"/>
        <w:adjustRightInd w:val="0"/>
        <w:ind w:firstLine="720"/>
        <w:rPr>
          <w:rFonts w:cs="Times New Roman"/>
          <w:szCs w:val="24"/>
        </w:rPr>
      </w:pPr>
      <w:r>
        <w:rPr>
          <w:rFonts w:cs="Times New Roman"/>
          <w:szCs w:val="24"/>
        </w:rPr>
        <w:t>The mean age for the study group was 7.9 to 9.1 years. Heights and weights were measured to the nearest 0.1 units</w:t>
      </w:r>
      <w:r w:rsidR="00DC3C19">
        <w:rPr>
          <w:rFonts w:cs="Times New Roman"/>
          <w:szCs w:val="24"/>
        </w:rPr>
        <w:t xml:space="preserve"> to facilitate calculation of BMI (kg/m</w:t>
      </w:r>
      <w:r w:rsidR="00DC3C19" w:rsidRPr="00DC3C19">
        <w:rPr>
          <w:rFonts w:cs="Times New Roman"/>
          <w:szCs w:val="24"/>
          <w:vertAlign w:val="superscript"/>
        </w:rPr>
        <w:t>2</w:t>
      </w:r>
      <w:r w:rsidR="00DC3C19">
        <w:rPr>
          <w:rFonts w:cs="Times New Roman"/>
          <w:szCs w:val="24"/>
        </w:rPr>
        <w:t xml:space="preserve">). The LMS method was then applied to acquire the BMI-z scores. </w:t>
      </w:r>
      <w:r w:rsidR="00611D46">
        <w:rPr>
          <w:rFonts w:cs="Times New Roman"/>
          <w:szCs w:val="24"/>
        </w:rPr>
        <w:t xml:space="preserve">Girls were more competent on locomotor skills compared to boys but the boys were more involved in object control skills. The </w:t>
      </w:r>
      <w:r>
        <w:rPr>
          <w:rFonts w:cs="Times New Roman"/>
          <w:szCs w:val="24"/>
        </w:rPr>
        <w:t xml:space="preserve">mean </w:t>
      </w:r>
      <w:r w:rsidR="00611D46">
        <w:rPr>
          <w:rFonts w:cs="Times New Roman"/>
          <w:szCs w:val="24"/>
        </w:rPr>
        <w:t xml:space="preserve">average </w:t>
      </w:r>
      <w:r>
        <w:rPr>
          <w:rFonts w:cs="Times New Roman"/>
          <w:szCs w:val="24"/>
        </w:rPr>
        <w:t xml:space="preserve">score </w:t>
      </w:r>
      <w:r w:rsidR="0053093C">
        <w:rPr>
          <w:rFonts w:cs="Times New Roman"/>
          <w:szCs w:val="24"/>
        </w:rPr>
        <w:t xml:space="preserve">for the study group was 23.9 to 31.5 for locomotor skills and 18.0 to 30.4 for object-control skills. </w:t>
      </w:r>
      <w:r w:rsidR="00DC3C19">
        <w:rPr>
          <w:rFonts w:cs="Times New Roman"/>
          <w:szCs w:val="24"/>
        </w:rPr>
        <w:t>The study observed an average of 35.1 to 74.5 minutes participation in MVPA with b</w:t>
      </w:r>
      <w:r w:rsidR="0053093C">
        <w:rPr>
          <w:rFonts w:cs="Times New Roman"/>
          <w:szCs w:val="24"/>
        </w:rPr>
        <w:t xml:space="preserve">oys </w:t>
      </w:r>
      <w:r w:rsidR="00DC3C19">
        <w:rPr>
          <w:rFonts w:cs="Times New Roman"/>
          <w:szCs w:val="24"/>
        </w:rPr>
        <w:t xml:space="preserve">recorded to be more </w:t>
      </w:r>
      <w:r w:rsidR="0053093C">
        <w:rPr>
          <w:rFonts w:cs="Times New Roman"/>
          <w:szCs w:val="24"/>
        </w:rPr>
        <w:t xml:space="preserve">engaged in physical activities than girls. </w:t>
      </w:r>
      <w:r w:rsidR="00C36715">
        <w:rPr>
          <w:rFonts w:cs="Times New Roman"/>
          <w:szCs w:val="24"/>
        </w:rPr>
        <w:t xml:space="preserve">Data from the accelerometers was stored in 10-second epochs with a frequency of 30Hz. The valid wear time per day was at least ten hours and the data was taken with a minimum of three days per week including a weekend day. Cut points were published as 15-second threshold which were then equated to 10-second data. </w:t>
      </w:r>
    </w:p>
    <w:p w:rsidR="00C36715" w:rsidRDefault="002A1636" w:rsidP="00611D46">
      <w:pPr>
        <w:autoSpaceDE w:val="0"/>
        <w:autoSpaceDN w:val="0"/>
        <w:adjustRightInd w:val="0"/>
        <w:ind w:firstLine="720"/>
        <w:rPr>
          <w:rFonts w:cs="Times New Roman"/>
          <w:szCs w:val="24"/>
        </w:rPr>
      </w:pPr>
      <w:r>
        <w:rPr>
          <w:rFonts w:cs="Times New Roman"/>
          <w:szCs w:val="24"/>
        </w:rPr>
        <w:t xml:space="preserve">The standard deviation applicable was for age was 0.6, with the boys recorded </w:t>
      </w:r>
      <w:r w:rsidR="00982FC2">
        <w:rPr>
          <w:rFonts w:cs="Times New Roman"/>
          <w:szCs w:val="24"/>
        </w:rPr>
        <w:t>a SD of 0.7 and the girls 0.6. The SD value for the BMI-</w:t>
      </w:r>
      <w:r>
        <w:rPr>
          <w:rFonts w:cs="Times New Roman"/>
          <w:szCs w:val="24"/>
        </w:rPr>
        <w:t xml:space="preserve">z score was </w:t>
      </w:r>
      <w:r w:rsidR="00982FC2">
        <w:rPr>
          <w:rFonts w:cs="Times New Roman"/>
          <w:szCs w:val="24"/>
        </w:rPr>
        <w:t xml:space="preserve">1.25 for the whole data, with the boys SD at 1.29 and the girls at 0.67. SES SD value for the whole data was 2 with both boys and girls sharing the same value. Locomotor skills SD value for the whole group was at 5.8 with the boy’s value at 6.3 and the girl’s at 5.2. Object control skill SD value was 6.2 calculated from the boy’s 6.0 and the girl’s 5.3. The total daily MVPA minutes also recorded SD value of 19.7 from the boy’s SD at 20.6 and the girls at 17.0. This minutes were recorded into lunchtime, recess and after-school minutes which recorded SD values of 5.4, 5.8 and 15.5 respectively for both genders. The standard deviations above were taken as either positive or negative with the extreme values giving the confidence levels of all the subgroups. </w:t>
      </w:r>
    </w:p>
    <w:p w:rsidR="00F00B9C" w:rsidRDefault="00C36715" w:rsidP="00C36715">
      <w:pPr>
        <w:autoSpaceDE w:val="0"/>
        <w:autoSpaceDN w:val="0"/>
        <w:adjustRightInd w:val="0"/>
        <w:ind w:firstLine="720"/>
        <w:rPr>
          <w:rFonts w:cs="Times New Roman"/>
          <w:szCs w:val="24"/>
        </w:rPr>
      </w:pPr>
      <w:r>
        <w:rPr>
          <w:rFonts w:cs="Times New Roman"/>
          <w:szCs w:val="24"/>
        </w:rPr>
        <w:t xml:space="preserve">Locomotor skills and object control skill applied several behavioral components which were recorded as 1 and 0 for </w:t>
      </w:r>
      <w:r w:rsidR="00E6668E">
        <w:rPr>
          <w:rFonts w:cs="Times New Roman"/>
          <w:szCs w:val="24"/>
        </w:rPr>
        <w:t xml:space="preserve">correct and incorrect performance. These behavioral </w:t>
      </w:r>
      <w:r w:rsidR="00E6668E">
        <w:rPr>
          <w:rFonts w:cs="Times New Roman"/>
          <w:szCs w:val="24"/>
        </w:rPr>
        <w:lastRenderedPageBreak/>
        <w:t>component scores were recorded as raw skill scores which were the summed up to acquire the raw subtest scores for both locomotor</w:t>
      </w:r>
      <w:bookmarkStart w:id="0" w:name="_GoBack"/>
      <w:bookmarkEnd w:id="0"/>
      <w:r w:rsidR="00E6668E">
        <w:rPr>
          <w:rFonts w:cs="Times New Roman"/>
          <w:szCs w:val="24"/>
        </w:rPr>
        <w:t xml:space="preserve"> and object-control. Kappa values were calculated and together with the pre-recorded tapes gave the values of agreements; inter-rater reliability at 0.97 and intra-rater reliability ranging from 0.94-0.98. </w:t>
      </w:r>
      <w:r w:rsidR="0053093C">
        <w:rPr>
          <w:rFonts w:cs="Times New Roman"/>
          <w:szCs w:val="24"/>
        </w:rPr>
        <w:t xml:space="preserve">Locomotor skills attributed to moderate-to-vigorous physical activity with a total significance of </w:t>
      </w:r>
      <w:r w:rsidR="00E6668E">
        <w:rPr>
          <w:rFonts w:cs="Times New Roman"/>
          <w:szCs w:val="24"/>
        </w:rPr>
        <w:t>(</w:t>
      </w:r>
      <w:r w:rsidR="0053093C">
        <w:rPr>
          <w:rFonts w:cs="Times New Roman"/>
          <w:szCs w:val="24"/>
        </w:rPr>
        <w:t>P=0.002</w:t>
      </w:r>
      <w:r w:rsidR="00E6668E">
        <w:rPr>
          <w:rFonts w:cs="Times New Roman"/>
          <w:szCs w:val="24"/>
        </w:rPr>
        <w:t>, r=0.15)</w:t>
      </w:r>
      <w:r w:rsidR="0053093C">
        <w:rPr>
          <w:rFonts w:cs="Times New Roman"/>
          <w:szCs w:val="24"/>
        </w:rPr>
        <w:t xml:space="preserve"> compiled from recess (P=0.108), lunchtime (P=0.075</w:t>
      </w:r>
      <w:r w:rsidR="00F00B9C">
        <w:rPr>
          <w:rFonts w:cs="Times New Roman"/>
          <w:szCs w:val="24"/>
        </w:rPr>
        <w:t>), and after-school (P=0.014</w:t>
      </w:r>
      <w:r w:rsidR="002A1636">
        <w:rPr>
          <w:rFonts w:cs="Times New Roman"/>
          <w:szCs w:val="24"/>
        </w:rPr>
        <w:t>, r=0.13</w:t>
      </w:r>
      <w:r w:rsidR="00F00B9C">
        <w:rPr>
          <w:rFonts w:cs="Times New Roman"/>
          <w:szCs w:val="24"/>
        </w:rPr>
        <w:t>). O</w:t>
      </w:r>
      <w:r w:rsidR="0053093C">
        <w:rPr>
          <w:rFonts w:cs="Times New Roman"/>
          <w:szCs w:val="24"/>
        </w:rPr>
        <w:t xml:space="preserve">bject control skill on the other hand attributed to a total </w:t>
      </w:r>
      <w:r w:rsidR="002A1636">
        <w:rPr>
          <w:rFonts w:cs="Times New Roman"/>
          <w:szCs w:val="24"/>
        </w:rPr>
        <w:t xml:space="preserve">significance </w:t>
      </w:r>
      <w:r w:rsidR="0053093C">
        <w:rPr>
          <w:rFonts w:cs="Times New Roman"/>
          <w:szCs w:val="24"/>
        </w:rPr>
        <w:t xml:space="preserve">MVPA of </w:t>
      </w:r>
      <w:r w:rsidR="002A1636">
        <w:rPr>
          <w:rFonts w:cs="Times New Roman"/>
          <w:szCs w:val="24"/>
        </w:rPr>
        <w:t>(</w:t>
      </w:r>
      <w:r w:rsidR="0053093C">
        <w:rPr>
          <w:rFonts w:cs="Times New Roman"/>
          <w:szCs w:val="24"/>
        </w:rPr>
        <w:t>P&lt;0.001</w:t>
      </w:r>
      <w:r w:rsidR="002A1636">
        <w:rPr>
          <w:rFonts w:cs="Times New Roman"/>
          <w:szCs w:val="24"/>
        </w:rPr>
        <w:t>, r=0.20)</w:t>
      </w:r>
      <w:r w:rsidR="0053093C">
        <w:rPr>
          <w:rFonts w:cs="Times New Roman"/>
          <w:szCs w:val="24"/>
        </w:rPr>
        <w:t xml:space="preserve"> from recess (P=0.006</w:t>
      </w:r>
      <w:r w:rsidR="002A1636">
        <w:rPr>
          <w:rFonts w:cs="Times New Roman"/>
          <w:szCs w:val="24"/>
        </w:rPr>
        <w:t>, r=0.11</w:t>
      </w:r>
      <w:r w:rsidR="0053093C">
        <w:rPr>
          <w:rFonts w:cs="Times New Roman"/>
          <w:szCs w:val="24"/>
        </w:rPr>
        <w:t>), lunchtime (P=0.030</w:t>
      </w:r>
      <w:r w:rsidR="002A1636">
        <w:rPr>
          <w:rFonts w:cs="Times New Roman"/>
          <w:szCs w:val="24"/>
        </w:rPr>
        <w:t>, r=0.10</w:t>
      </w:r>
      <w:r w:rsidR="0053093C">
        <w:rPr>
          <w:rFonts w:cs="Times New Roman"/>
          <w:szCs w:val="24"/>
        </w:rPr>
        <w:t>), and after-school (P=0.022</w:t>
      </w:r>
      <w:r w:rsidR="002A1636">
        <w:rPr>
          <w:rFonts w:cs="Times New Roman"/>
          <w:szCs w:val="24"/>
        </w:rPr>
        <w:t>, r=0.13</w:t>
      </w:r>
      <w:r w:rsidR="0053093C">
        <w:rPr>
          <w:rFonts w:cs="Times New Roman"/>
          <w:szCs w:val="24"/>
        </w:rPr>
        <w:t xml:space="preserve">). </w:t>
      </w:r>
      <w:r w:rsidR="002A1636">
        <w:rPr>
          <w:rFonts w:cs="Times New Roman"/>
          <w:szCs w:val="24"/>
        </w:rPr>
        <w:t xml:space="preserve">In all analyses, the confidence interval set for statistical significance was P&lt;0.05. </w:t>
      </w:r>
      <w:r w:rsidR="002A1636">
        <w:rPr>
          <w:rFonts w:cs="Times New Roman"/>
          <w:szCs w:val="24"/>
        </w:rPr>
        <w:t>T</w:t>
      </w:r>
      <w:r w:rsidR="00E6668E">
        <w:rPr>
          <w:rFonts w:cs="Times New Roman"/>
          <w:szCs w:val="24"/>
        </w:rPr>
        <w:t xml:space="preserve">o assess the cross-sectional relationship between FMS and MVPA, the schools were taken as random variables, age, sex, BMI-z score and SES were included as fixed factors, FMS as the predictor variable to give MVPA as the outcome variable. </w:t>
      </w:r>
      <w:r w:rsidR="0053093C">
        <w:rPr>
          <w:rFonts w:cs="Times New Roman"/>
          <w:szCs w:val="24"/>
        </w:rPr>
        <w:t xml:space="preserve">It can be deduced that </w:t>
      </w:r>
      <w:r w:rsidR="008E6D3C">
        <w:rPr>
          <w:rFonts w:cs="Times New Roman"/>
          <w:szCs w:val="24"/>
        </w:rPr>
        <w:t xml:space="preserve">object control skill was more significant in the MVPA of the children during lunchtime and breaks than locomotor skills. After school however provided a chance for physical activity from children who were more involved in both the locomotive skills and object control skills. </w:t>
      </w:r>
      <w:r w:rsidR="00F00B9C">
        <w:rPr>
          <w:rFonts w:cs="Times New Roman"/>
          <w:szCs w:val="24"/>
        </w:rPr>
        <w:br w:type="page"/>
      </w:r>
    </w:p>
    <w:sdt>
      <w:sdtPr>
        <w:rPr>
          <w:rFonts w:ascii="Times New Roman" w:eastAsiaTheme="minorHAnsi" w:hAnsi="Times New Roman" w:cs="Times New Roman"/>
          <w:color w:val="auto"/>
          <w:sz w:val="24"/>
          <w:szCs w:val="24"/>
        </w:rPr>
        <w:id w:val="-1566186830"/>
        <w:docPartObj>
          <w:docPartGallery w:val="Bibliographies"/>
          <w:docPartUnique/>
        </w:docPartObj>
      </w:sdtPr>
      <w:sdtEndPr>
        <w:rPr>
          <w:rFonts w:cstheme="minorBidi"/>
          <w:szCs w:val="22"/>
        </w:rPr>
      </w:sdtEndPr>
      <w:sdtContent>
        <w:p w:rsidR="00F00B9C" w:rsidRPr="00F00B9C" w:rsidRDefault="00F00B9C" w:rsidP="00F00B9C">
          <w:pPr>
            <w:pStyle w:val="Heading1"/>
            <w:jc w:val="center"/>
            <w:rPr>
              <w:rFonts w:ascii="Times New Roman" w:hAnsi="Times New Roman" w:cs="Times New Roman"/>
              <w:color w:val="auto"/>
              <w:sz w:val="24"/>
              <w:szCs w:val="24"/>
            </w:rPr>
          </w:pPr>
          <w:r w:rsidRPr="00F00B9C">
            <w:rPr>
              <w:rFonts w:ascii="Times New Roman" w:hAnsi="Times New Roman" w:cs="Times New Roman"/>
              <w:color w:val="auto"/>
              <w:sz w:val="24"/>
              <w:szCs w:val="24"/>
            </w:rPr>
            <w:t>References</w:t>
          </w:r>
        </w:p>
        <w:sdt>
          <w:sdtPr>
            <w:id w:val="-573587230"/>
            <w:bibliography/>
          </w:sdtPr>
          <w:sdtEndPr/>
          <w:sdtContent>
            <w:p w:rsidR="00F00B9C" w:rsidRDefault="00F00B9C" w:rsidP="00F00B9C">
              <w:pPr>
                <w:pStyle w:val="Bibliography"/>
                <w:ind w:left="720" w:hanging="720"/>
                <w:rPr>
                  <w:noProof/>
                  <w:szCs w:val="24"/>
                </w:rPr>
              </w:pPr>
              <w:r>
                <w:fldChar w:fldCharType="begin"/>
              </w:r>
              <w:r>
                <w:instrText xml:space="preserve"> BIBLIOGRAPHY </w:instrText>
              </w:r>
              <w:r>
                <w:fldChar w:fldCharType="separate"/>
              </w:r>
              <w:r>
                <w:rPr>
                  <w:noProof/>
                </w:rPr>
                <w:t xml:space="preserve">Ancoli-Israel, S., Martin, J. L., Blackwell, T., Buenever, T., Liu, L., Meltzer, L. J., . . . Taylor, D. J. (2015). he SBSM guide to actigraphy monitoring: clinical and research applications. . </w:t>
              </w:r>
              <w:r>
                <w:rPr>
                  <w:i/>
                  <w:iCs/>
                  <w:noProof/>
                </w:rPr>
                <w:t>Behavioral sleep medicine</w:t>
              </w:r>
              <w:r>
                <w:rPr>
                  <w:noProof/>
                </w:rPr>
                <w:t>, S4-S38.</w:t>
              </w:r>
            </w:p>
            <w:p w:rsidR="00F00B9C" w:rsidRDefault="00F00B9C" w:rsidP="00F00B9C">
              <w:pPr>
                <w:pStyle w:val="Bibliography"/>
                <w:ind w:left="720" w:hanging="720"/>
                <w:rPr>
                  <w:noProof/>
                </w:rPr>
              </w:pPr>
              <w:r>
                <w:rPr>
                  <w:noProof/>
                </w:rPr>
                <w:t xml:space="preserve">Crane, J. R., Naylor, P. J., Cook, R., &amp; Temple, V. A. (2015). Do perceptions of competence mediate the relationship between fundamental motor skill proficiency and physical activity levels of children in kindergarten? </w:t>
              </w:r>
              <w:r>
                <w:rPr>
                  <w:i/>
                  <w:iCs/>
                  <w:noProof/>
                </w:rPr>
                <w:t>Journal of Physical Activity and Health</w:t>
              </w:r>
              <w:r>
                <w:rPr>
                  <w:noProof/>
                </w:rPr>
                <w:t>, 954-961.</w:t>
              </w:r>
            </w:p>
            <w:p w:rsidR="00F00B9C" w:rsidRDefault="00F00B9C" w:rsidP="00F00B9C">
              <w:pPr>
                <w:pStyle w:val="Bibliography"/>
                <w:ind w:left="720" w:hanging="720"/>
                <w:rPr>
                  <w:noProof/>
                </w:rPr>
              </w:pPr>
              <w:r>
                <w:rPr>
                  <w:noProof/>
                </w:rPr>
                <w:t xml:space="preserve">Ivashchenko, O., Khudolii, O., Iermakov, S., Lochbaum, M., Cieslicka, M., Zukow, W., . . . Yermakova, T. (2017). Methodological approaches to pedagogical control of the functional and motor fitness of the girls from 7-9 grades. </w:t>
              </w:r>
              <w:r>
                <w:rPr>
                  <w:i/>
                  <w:iCs/>
                  <w:noProof/>
                </w:rPr>
                <w:t>Journal of Physical Education and Sport</w:t>
              </w:r>
              <w:r>
                <w:rPr>
                  <w:noProof/>
                </w:rPr>
                <w:t>, 254.</w:t>
              </w:r>
            </w:p>
            <w:p w:rsidR="00F00B9C" w:rsidRDefault="00F00B9C" w:rsidP="00F00B9C">
              <w:pPr>
                <w:pStyle w:val="Bibliography"/>
                <w:ind w:left="720" w:hanging="720"/>
                <w:rPr>
                  <w:noProof/>
                </w:rPr>
              </w:pPr>
              <w:r>
                <w:rPr>
                  <w:noProof/>
                </w:rPr>
                <w:t xml:space="preserve">Skotte, J., Korshoj, M., Kristiansen, J., Hanisch, C., &amp; Holtermann, A. (2014). Detection of physical activity types using triaxial accelerometers. </w:t>
              </w:r>
              <w:r>
                <w:rPr>
                  <w:i/>
                  <w:iCs/>
                  <w:noProof/>
                </w:rPr>
                <w:t>Journal of physical activity and health</w:t>
              </w:r>
              <w:r>
                <w:rPr>
                  <w:noProof/>
                </w:rPr>
                <w:t>, 76-84.</w:t>
              </w:r>
            </w:p>
            <w:p w:rsidR="00F00B9C" w:rsidRDefault="00F00B9C" w:rsidP="00F00B9C">
              <w:r>
                <w:rPr>
                  <w:b/>
                  <w:bCs/>
                  <w:noProof/>
                </w:rPr>
                <w:fldChar w:fldCharType="end"/>
              </w:r>
            </w:p>
          </w:sdtContent>
        </w:sdt>
      </w:sdtContent>
    </w:sdt>
    <w:p w:rsidR="00611D46" w:rsidRPr="00611D46" w:rsidRDefault="00611D46" w:rsidP="00611D46">
      <w:pPr>
        <w:autoSpaceDE w:val="0"/>
        <w:autoSpaceDN w:val="0"/>
        <w:adjustRightInd w:val="0"/>
        <w:ind w:firstLine="720"/>
        <w:rPr>
          <w:rFonts w:cs="Times New Roman"/>
          <w:szCs w:val="24"/>
        </w:rPr>
      </w:pPr>
    </w:p>
    <w:sectPr w:rsidR="00611D46" w:rsidRPr="00611D46" w:rsidSect="00F00B9C">
      <w:headerReference w:type="default" r:id="rId8"/>
      <w:headerReference w:type="first" r:id="rId9"/>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57C4" w:rsidRDefault="00EA57C4" w:rsidP="00F00B9C">
      <w:pPr>
        <w:spacing w:line="240" w:lineRule="auto"/>
      </w:pPr>
      <w:r>
        <w:separator/>
      </w:r>
    </w:p>
  </w:endnote>
  <w:endnote w:type="continuationSeparator" w:id="0">
    <w:p w:rsidR="00EA57C4" w:rsidRDefault="00EA57C4" w:rsidP="00F00B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57C4" w:rsidRDefault="00EA57C4" w:rsidP="00F00B9C">
      <w:pPr>
        <w:spacing w:line="240" w:lineRule="auto"/>
      </w:pPr>
      <w:r>
        <w:separator/>
      </w:r>
    </w:p>
  </w:footnote>
  <w:footnote w:type="continuationSeparator" w:id="0">
    <w:p w:rsidR="00EA57C4" w:rsidRDefault="00EA57C4" w:rsidP="00F00B9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0B9C" w:rsidRDefault="006328AD">
    <w:pPr>
      <w:pStyle w:val="Header"/>
      <w:jc w:val="right"/>
    </w:pPr>
    <w:r>
      <w:t>PHYSI</w:t>
    </w:r>
    <w:r w:rsidR="00F00B9C">
      <w:t xml:space="preserve">CAL ACTIVITY IN CHILDREN </w:t>
    </w:r>
    <w:r w:rsidR="00F00B9C">
      <w:tab/>
    </w:r>
    <w:r w:rsidR="00F00B9C">
      <w:tab/>
    </w:r>
    <w:sdt>
      <w:sdtPr>
        <w:id w:val="-825204627"/>
        <w:docPartObj>
          <w:docPartGallery w:val="Page Numbers (Top of Page)"/>
          <w:docPartUnique/>
        </w:docPartObj>
      </w:sdtPr>
      <w:sdtEndPr>
        <w:rPr>
          <w:noProof/>
        </w:rPr>
      </w:sdtEndPr>
      <w:sdtContent>
        <w:r w:rsidR="00F00B9C">
          <w:fldChar w:fldCharType="begin"/>
        </w:r>
        <w:r w:rsidR="00F00B9C">
          <w:instrText xml:space="preserve"> PAGE   \* MERGEFORMAT </w:instrText>
        </w:r>
        <w:r w:rsidR="00F00B9C">
          <w:fldChar w:fldCharType="separate"/>
        </w:r>
        <w:r w:rsidR="00982FC2">
          <w:rPr>
            <w:noProof/>
          </w:rPr>
          <w:t>4</w:t>
        </w:r>
        <w:r w:rsidR="00F00B9C">
          <w:rPr>
            <w:noProof/>
          </w:rPr>
          <w:fldChar w:fldCharType="end"/>
        </w:r>
      </w:sdtContent>
    </w:sdt>
  </w:p>
  <w:p w:rsidR="00F00B9C" w:rsidRDefault="00F00B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0B9C" w:rsidRDefault="00F00B9C">
    <w:pPr>
      <w:pStyle w:val="Header"/>
      <w:jc w:val="right"/>
    </w:pPr>
    <w:r>
      <w:t>Running Head: PHYS</w:t>
    </w:r>
    <w:r w:rsidR="006328AD">
      <w:t>I</w:t>
    </w:r>
    <w:r>
      <w:t>CAL ACTIVITY IN CHILDREN</w:t>
    </w:r>
    <w:r>
      <w:tab/>
    </w:r>
    <w:sdt>
      <w:sdtPr>
        <w:id w:val="-5642505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36715">
          <w:rPr>
            <w:noProof/>
          </w:rPr>
          <w:t>1</w:t>
        </w:r>
        <w:r>
          <w:rPr>
            <w:noProof/>
          </w:rPr>
          <w:fldChar w:fldCharType="end"/>
        </w:r>
      </w:sdtContent>
    </w:sdt>
  </w:p>
  <w:p w:rsidR="00F00B9C" w:rsidRDefault="00F00B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2F30F3"/>
    <w:multiLevelType w:val="hybridMultilevel"/>
    <w:tmpl w:val="5EE28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D75"/>
    <w:rsid w:val="0010353F"/>
    <w:rsid w:val="001226A1"/>
    <w:rsid w:val="001C7288"/>
    <w:rsid w:val="00200549"/>
    <w:rsid w:val="002A1636"/>
    <w:rsid w:val="003C63C1"/>
    <w:rsid w:val="003D22EC"/>
    <w:rsid w:val="00494685"/>
    <w:rsid w:val="004F5501"/>
    <w:rsid w:val="00513017"/>
    <w:rsid w:val="0053093C"/>
    <w:rsid w:val="00611D46"/>
    <w:rsid w:val="006328AD"/>
    <w:rsid w:val="00663F22"/>
    <w:rsid w:val="00765792"/>
    <w:rsid w:val="007B5E3F"/>
    <w:rsid w:val="008E6D3C"/>
    <w:rsid w:val="008F589D"/>
    <w:rsid w:val="00956BE3"/>
    <w:rsid w:val="00982FC2"/>
    <w:rsid w:val="00B81D75"/>
    <w:rsid w:val="00C36715"/>
    <w:rsid w:val="00DC3C19"/>
    <w:rsid w:val="00E20C50"/>
    <w:rsid w:val="00E6668E"/>
    <w:rsid w:val="00EA57C4"/>
    <w:rsid w:val="00EA7C56"/>
    <w:rsid w:val="00EC7E06"/>
    <w:rsid w:val="00EE5F9D"/>
    <w:rsid w:val="00F00B9C"/>
    <w:rsid w:val="00F1110C"/>
    <w:rsid w:val="00F87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55FC9B-842D-4E38-B11C-6D6BFB009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00B9C"/>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353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00B9C"/>
    <w:pPr>
      <w:tabs>
        <w:tab w:val="center" w:pos="4680"/>
        <w:tab w:val="right" w:pos="9360"/>
      </w:tabs>
      <w:spacing w:line="240" w:lineRule="auto"/>
    </w:pPr>
  </w:style>
  <w:style w:type="character" w:customStyle="1" w:styleId="HeaderChar">
    <w:name w:val="Header Char"/>
    <w:basedOn w:val="DefaultParagraphFont"/>
    <w:link w:val="Header"/>
    <w:uiPriority w:val="99"/>
    <w:rsid w:val="00F00B9C"/>
  </w:style>
  <w:style w:type="paragraph" w:styleId="Footer">
    <w:name w:val="footer"/>
    <w:basedOn w:val="Normal"/>
    <w:link w:val="FooterChar"/>
    <w:uiPriority w:val="99"/>
    <w:unhideWhenUsed/>
    <w:rsid w:val="00F00B9C"/>
    <w:pPr>
      <w:tabs>
        <w:tab w:val="center" w:pos="4680"/>
        <w:tab w:val="right" w:pos="9360"/>
      </w:tabs>
      <w:spacing w:line="240" w:lineRule="auto"/>
    </w:pPr>
  </w:style>
  <w:style w:type="character" w:customStyle="1" w:styleId="FooterChar">
    <w:name w:val="Footer Char"/>
    <w:basedOn w:val="DefaultParagraphFont"/>
    <w:link w:val="Footer"/>
    <w:uiPriority w:val="99"/>
    <w:rsid w:val="00F00B9C"/>
  </w:style>
  <w:style w:type="character" w:customStyle="1" w:styleId="Heading1Char">
    <w:name w:val="Heading 1 Char"/>
    <w:basedOn w:val="DefaultParagraphFont"/>
    <w:link w:val="Heading1"/>
    <w:uiPriority w:val="9"/>
    <w:rsid w:val="00F00B9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00B9C"/>
  </w:style>
  <w:style w:type="paragraph" w:styleId="ListParagraph">
    <w:name w:val="List Paragraph"/>
    <w:basedOn w:val="Normal"/>
    <w:uiPriority w:val="34"/>
    <w:qFormat/>
    <w:rsid w:val="00F00B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1416820">
      <w:bodyDiv w:val="1"/>
      <w:marLeft w:val="0"/>
      <w:marRight w:val="0"/>
      <w:marTop w:val="0"/>
      <w:marBottom w:val="0"/>
      <w:divBdr>
        <w:top w:val="none" w:sz="0" w:space="0" w:color="auto"/>
        <w:left w:val="none" w:sz="0" w:space="0" w:color="auto"/>
        <w:bottom w:val="none" w:sz="0" w:space="0" w:color="auto"/>
        <w:right w:val="none" w:sz="0" w:space="0" w:color="auto"/>
      </w:divBdr>
    </w:div>
    <w:div w:id="996572099">
      <w:bodyDiv w:val="1"/>
      <w:marLeft w:val="0"/>
      <w:marRight w:val="0"/>
      <w:marTop w:val="0"/>
      <w:marBottom w:val="0"/>
      <w:divBdr>
        <w:top w:val="none" w:sz="0" w:space="0" w:color="auto"/>
        <w:left w:val="none" w:sz="0" w:space="0" w:color="auto"/>
        <w:bottom w:val="none" w:sz="0" w:space="0" w:color="auto"/>
        <w:right w:val="none" w:sz="0" w:space="0" w:color="auto"/>
      </w:divBdr>
    </w:div>
    <w:div w:id="1335720872">
      <w:bodyDiv w:val="1"/>
      <w:marLeft w:val="0"/>
      <w:marRight w:val="0"/>
      <w:marTop w:val="0"/>
      <w:marBottom w:val="0"/>
      <w:divBdr>
        <w:top w:val="none" w:sz="0" w:space="0" w:color="auto"/>
        <w:left w:val="none" w:sz="0" w:space="0" w:color="auto"/>
        <w:bottom w:val="none" w:sz="0" w:space="0" w:color="auto"/>
        <w:right w:val="none" w:sz="0" w:space="0" w:color="auto"/>
      </w:divBdr>
    </w:div>
    <w:div w:id="1417248399">
      <w:bodyDiv w:val="1"/>
      <w:marLeft w:val="0"/>
      <w:marRight w:val="0"/>
      <w:marTop w:val="0"/>
      <w:marBottom w:val="0"/>
      <w:divBdr>
        <w:top w:val="none" w:sz="0" w:space="0" w:color="auto"/>
        <w:left w:val="none" w:sz="0" w:space="0" w:color="auto"/>
        <w:bottom w:val="none" w:sz="0" w:space="0" w:color="auto"/>
        <w:right w:val="none" w:sz="0" w:space="0" w:color="auto"/>
      </w:divBdr>
    </w:div>
    <w:div w:id="1445690566">
      <w:bodyDiv w:val="1"/>
      <w:marLeft w:val="0"/>
      <w:marRight w:val="0"/>
      <w:marTop w:val="0"/>
      <w:marBottom w:val="0"/>
      <w:divBdr>
        <w:top w:val="none" w:sz="0" w:space="0" w:color="auto"/>
        <w:left w:val="none" w:sz="0" w:space="0" w:color="auto"/>
        <w:bottom w:val="none" w:sz="0" w:space="0" w:color="auto"/>
        <w:right w:val="none" w:sz="0" w:space="0" w:color="auto"/>
      </w:divBdr>
    </w:div>
    <w:div w:id="19063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Cra15</b:Tag>
    <b:SourceType>JournalArticle</b:SourceType>
    <b:Guid>{3436CAFF-2EB0-48A5-A815-AD1D19C248A6}</b:Guid>
    <b:Title>Do perceptions of competence mediate the relationship between fundamental motor skill proficiency and physical activity levels of children in kindergarten?</b:Title>
    <b:JournalName>Journal of Physical Activity and Health</b:JournalName>
    <b:Year>2015</b:Year>
    <b:Pages>954-961</b:Pages>
    <b:Author>
      <b:Author>
        <b:NameList>
          <b:Person>
            <b:Last>Crane</b:Last>
            <b:Middle>R.</b:Middle>
            <b:First>Jeff</b:First>
          </b:Person>
          <b:Person>
            <b:Last>Naylor</b:Last>
            <b:Middle>J.</b:Middle>
            <b:First>Patti</b:First>
          </b:Person>
          <b:Person>
            <b:Last>Cook</b:Last>
            <b:First>Ryan</b:First>
          </b:Person>
          <b:Person>
            <b:Last>Temple</b:Last>
            <b:Middle>A.</b:Middle>
            <b:First>Viviene</b:First>
          </b:Person>
        </b:NameList>
      </b:Author>
    </b:Author>
    <b:RefOrder>1</b:RefOrder>
  </b:Source>
  <b:Source>
    <b:Tag>Sko14</b:Tag>
    <b:SourceType>JournalArticle</b:SourceType>
    <b:Guid>{96EE27DF-3CD1-4539-9FC0-6F63E53937A0}</b:Guid>
    <b:Title>Detection of physical activity types using triaxial accelerometers</b:Title>
    <b:JournalName>Journal of physical activity and health</b:JournalName>
    <b:Year>2014</b:Year>
    <b:Pages>76-84</b:Pages>
    <b:Author>
      <b:Author>
        <b:NameList>
          <b:Person>
            <b:Last>Skotte</b:Last>
            <b:First>Jorgen</b:First>
          </b:Person>
          <b:Person>
            <b:Last>Korshoj</b:Last>
            <b:First>Mette</b:First>
          </b:Person>
          <b:Person>
            <b:Last>Kristiansen</b:Last>
            <b:First>Jesper</b:First>
          </b:Person>
          <b:Person>
            <b:Last>Hanisch</b:Last>
            <b:First>Christiana</b:First>
          </b:Person>
          <b:Person>
            <b:Last>Holtermann</b:Last>
            <b:First>Andreas</b:First>
          </b:Person>
        </b:NameList>
      </b:Author>
    </b:Author>
    <b:RefOrder>3</b:RefOrder>
  </b:Source>
  <b:Source>
    <b:Tag>Anc15</b:Tag>
    <b:SourceType>JournalArticle</b:SourceType>
    <b:Guid>{9F976F65-2AAE-4141-A01A-52A9C5F86C11}</b:Guid>
    <b:Title>he SBSM guide to actigraphy monitoring: clinical and research applications. </b:Title>
    <b:JournalName>Behavioral sleep medicine</b:JournalName>
    <b:Year>2015</b:Year>
    <b:Pages>S4-S38</b:Pages>
    <b:Author>
      <b:Author>
        <b:NameList>
          <b:Person>
            <b:Last>Ancoli-Israel</b:Last>
            <b:First>Sonia</b:First>
          </b:Person>
          <b:Person>
            <b:Last>Martin</b:Last>
            <b:Middle>L.</b:Middle>
            <b:First>Jennifer</b:First>
          </b:Person>
          <b:Person>
            <b:Last>Blackwell</b:Last>
            <b:First>Terri</b:First>
          </b:Person>
          <b:Person>
            <b:Last>Buenever</b:Last>
            <b:First>Terri</b:First>
          </b:Person>
          <b:Person>
            <b:Last>Liu</b:Last>
            <b:First>Lianqi</b:First>
          </b:Person>
          <b:Person>
            <b:Last>Meltzer</b:Last>
            <b:Middle>J.</b:Middle>
            <b:First>Lisa</b:First>
          </b:Person>
          <b:Person>
            <b:Last>Sadeh</b:Last>
            <b:First>Avi</b:First>
          </b:Person>
          <b:Person>
            <b:Last>Spira</b:Last>
            <b:Middle>P.</b:Middle>
            <b:First>Adam</b:First>
          </b:Person>
          <b:Person>
            <b:Last>Taylor</b:Last>
            <b:Middle>J.</b:Middle>
            <b:First>Daniel</b:First>
          </b:Person>
        </b:NameList>
      </b:Author>
    </b:Author>
    <b:RefOrder>2</b:RefOrder>
  </b:Source>
  <b:Source>
    <b:Tag>Iva17</b:Tag>
    <b:SourceType>JournalArticle</b:SourceType>
    <b:Guid>{5E16C97F-F4E2-404A-B8EC-20C5DA82E436}</b:Guid>
    <b:Title>Methodological approaches to pedagogical control of the functional and motor fitness of the girls from 7-9 grades</b:Title>
    <b:JournalName>Journal of Physical Education and Sport</b:JournalName>
    <b:Year>2017</b:Year>
    <b:Pages>254</b:Pages>
    <b:Author>
      <b:Author>
        <b:NameList>
          <b:Person>
            <b:Last>Ivashchenko</b:Last>
            <b:First>Olga</b:First>
          </b:Person>
          <b:Person>
            <b:Last>Khudolii</b:Last>
            <b:First>Oleg</b:First>
          </b:Person>
          <b:Person>
            <b:Last>Iermakov</b:Last>
            <b:First>Sergii</b:First>
          </b:Person>
          <b:Person>
            <b:Last>Lochbaum</b:Last>
            <b:First>Marc</b:First>
          </b:Person>
          <b:Person>
            <b:Last>Cieslicka</b:Last>
            <b:First>Miroslawa</b:First>
          </b:Person>
          <b:Person>
            <b:Last>Zukow</b:Last>
            <b:First>Walery</b:First>
          </b:Person>
          <b:Person>
            <b:Last>Mykola</b:Last>
            <b:First>Nosko</b:First>
          </b:Person>
          <b:Person>
            <b:Last>Yermakova</b:Last>
            <b:First>Tetiana</b:First>
          </b:Person>
        </b:NameList>
      </b:Author>
    </b:Author>
    <b:RefOrder>4</b:RefOrder>
  </b:Source>
</b:Sources>
</file>

<file path=customXml/itemProps1.xml><?xml version="1.0" encoding="utf-8"?>
<ds:datastoreItem xmlns:ds="http://schemas.openxmlformats.org/officeDocument/2006/customXml" ds:itemID="{8586F12B-A0C1-42FE-92B9-4C1426712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5</Pages>
  <Words>986</Words>
  <Characters>5624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Mwongi Mbugua</cp:lastModifiedBy>
  <cp:revision>5</cp:revision>
  <dcterms:created xsi:type="dcterms:W3CDTF">2019-01-30T17:16:00Z</dcterms:created>
  <dcterms:modified xsi:type="dcterms:W3CDTF">2019-01-31T09:48:00Z</dcterms:modified>
</cp:coreProperties>
</file>